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07" w:rsidRPr="00195907" w:rsidRDefault="00195907" w:rsidP="00195907">
      <w:pPr>
        <w:shd w:val="clear" w:color="auto" w:fill="FFFFFF"/>
        <w:spacing w:after="30" w:line="240" w:lineRule="auto"/>
        <w:outlineLvl w:val="2"/>
        <w:rPr>
          <w:rFonts w:ascii="Tahoma" w:eastAsia="Times New Roman" w:hAnsi="Tahoma" w:cs="Tahoma"/>
          <w:color w:val="009846"/>
          <w:sz w:val="31"/>
          <w:szCs w:val="31"/>
          <w:lang w:eastAsia="ru-RU"/>
        </w:rPr>
      </w:pPr>
      <w:r w:rsidRPr="00195907">
        <w:rPr>
          <w:rFonts w:ascii="Tahoma" w:eastAsia="Times New Roman" w:hAnsi="Tahoma" w:cs="Tahoma"/>
          <w:color w:val="009846"/>
          <w:sz w:val="31"/>
          <w:szCs w:val="31"/>
          <w:lang w:eastAsia="ru-RU"/>
        </w:rPr>
        <w:t>Информация для предпринимателей</w:t>
      </w:r>
    </w:p>
    <w:p w:rsidR="00195907" w:rsidRDefault="00195907"/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Федеральная налоговая служба в связи с проведением отраслевого проекта по исключению недобросовестного поведения на рынках сообщает, что Правительством Российской Федерации внесены в Государственную Думу Федерального Собрания Российской Федерации поправки, предусматривающие изменения в Федеральный закон от 22.05.2003 № 54-ФЗ «О применении контрольно-кассовой техники при осуществлении расчетов в Российской Федерации», в части сокращения перечня исключений, позволяющих организациям и индивидуальным предпринимателям осуществлять расчеты на розничных рынках, ярмарках, в выставочных комплексах без применения контрольно-кассовой техники.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Вышеуказанные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</w:t>
      </w:r>
      <w:bookmarkStart w:id="0" w:name="_GoBack"/>
      <w:bookmarkEnd w:id="0"/>
      <w:r>
        <w:rPr>
          <w:rFonts w:ascii="Tahoma" w:hAnsi="Tahoma" w:cs="Tahoma"/>
          <w:color w:val="2C2C2C"/>
          <w:sz w:val="20"/>
          <w:szCs w:val="20"/>
        </w:rPr>
        <w:t xml:space="preserve"> сельскохозяйственного налога (далее – 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195907" w:rsidRDefault="00195907" w:rsidP="00195907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При этом обращается внимание, что согласно требованиям части 5 статьи 346.2 и части 3 статьи 346.3 Налогового кодекса Российской Федерации переход на уплату ЕСХН осуществляется организациями и индивидуальными предпринимателями добровольно путем подачи в налоговые органы уведомления о переходе на ЕСХН, которое необходимо подать в налоговый орган в срок до 31 декабря календарного года, предшествующего календарному году, начиная с которого они переходят на уплату ЕСХН.</w:t>
      </w:r>
    </w:p>
    <w:p w:rsidR="00195907" w:rsidRDefault="00195907"/>
    <w:sectPr w:rsidR="0019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7"/>
    <w:rsid w:val="00195907"/>
    <w:rsid w:val="001E7483"/>
    <w:rsid w:val="00A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kurumchinskyi zagatui</cp:lastModifiedBy>
  <cp:revision>2</cp:revision>
  <dcterms:created xsi:type="dcterms:W3CDTF">2023-03-21T08:09:00Z</dcterms:created>
  <dcterms:modified xsi:type="dcterms:W3CDTF">2023-03-21T08:09:00Z</dcterms:modified>
</cp:coreProperties>
</file>